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Ind w:w="108" w:type="dxa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3"/>
          </w:tcPr>
          <w:p w:rsidR="00496DB3" w:rsidRDefault="008D029E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Присвоить муниципальным образовательным учреждениям статус муниципальной инновационной площадки, муниципальной стажировочной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Поручить МОУ «ГЦРО» обеспечить методическое сопровождение инновационной деятельности муниципальных инновационных площадок, стажировочных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  <w:lang w:val="ru-RU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  <w:lang w:val="ru-RU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директора </w:t>
      </w:r>
      <w:r w:rsidR="00E73DE0">
        <w:rPr>
          <w:sz w:val="26"/>
          <w:szCs w:val="26"/>
          <w:lang w:val="ru-RU"/>
        </w:rPr>
        <w:t>департамента</w:t>
      </w:r>
      <w:r>
        <w:rPr>
          <w:sz w:val="26"/>
          <w:szCs w:val="26"/>
          <w:lang w:val="ru-RU"/>
        </w:rPr>
        <w:t xml:space="preserve">                                           </w:t>
      </w:r>
      <w:r w:rsidR="00E73DE0">
        <w:rPr>
          <w:sz w:val="26"/>
          <w:szCs w:val="26"/>
          <w:lang w:val="ru-RU"/>
        </w:rPr>
        <w:t xml:space="preserve">                             Е.А.</w:t>
      </w:r>
      <w:r>
        <w:rPr>
          <w:sz w:val="26"/>
          <w:szCs w:val="26"/>
          <w:lang w:val="ru-RU"/>
        </w:rPr>
        <w:t>Ильина</w:t>
      </w:r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«ЯрТалант»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ЯрЮЦ «Радуга», МОУ ДО «Дворец пионеров», МОУ ДО ЦДТ «Россияне», МОУ ДО «Дом творчества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 xml:space="preserve"> МОУ «Начальная школа-детский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«ПремьерПарк» - 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 как средство 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15, 36,  42, 67, 173, 193,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 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стажировочные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здоровьесохраняющей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школа-детский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технологии формирующего оценивания в рамках ФГОС с использованием программно-технических решений Promethean (ActivInspire, ActivExpression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интерактивной доски  Interwrite и ActivBoard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Детский центр «Восхождение»,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Использование здоровьесберегающих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  в  педагогическую 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 44,  57, 68, 69, 72, 99, 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59, 76, 77, 80, 81, 87, МОУ «Провинциальный колледж», МОУ ДО «МУЦ Кировского и Ленинского районов», МОУ ДО «МУЦ </w:t>
            </w:r>
            <w:r w:rsidRPr="0072167F">
              <w:rPr>
                <w:b w:val="0"/>
                <w:sz w:val="26"/>
                <w:szCs w:val="26"/>
              </w:rPr>
              <w:lastRenderedPageBreak/>
              <w:t>Красноперекопского 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(прикрепленные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 №89  –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 № 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</w:t>
            </w:r>
            <w:r w:rsidRPr="0072167F">
              <w:rPr>
                <w:b w:val="0"/>
                <w:sz w:val="26"/>
                <w:szCs w:val="26"/>
              </w:rPr>
              <w:lastRenderedPageBreak/>
              <w:t>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Организационно-методическая поддержка </w:t>
            </w:r>
            <w:r w:rsidRPr="0072167F">
              <w:rPr>
                <w:b w:val="0"/>
                <w:sz w:val="26"/>
                <w:szCs w:val="26"/>
              </w:rPr>
              <w:lastRenderedPageBreak/>
              <w:t>общеобразовательных организаций г. Ярославля при 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перехода на ФГОС СОО общеобразовательных организаций 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029E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pPr>
      <w:tabs>
        <w:tab w:val="left" w:pos="13608"/>
      </w:tabs>
      <w:ind w:right="23" w:firstLine="851"/>
      <w:jc w:val="both"/>
    </w:pPr>
    <w:rPr>
      <w:b w:val="0"/>
      <w:lang/>
    </w:rPr>
  </w:style>
  <w:style w:type="paragraph" w:styleId="a5">
    <w:name w:val="Body Text Indent"/>
    <w:basedOn w:val="a"/>
    <w:pPr>
      <w:ind w:firstLine="851"/>
    </w:pPr>
    <w:rPr>
      <w:b w:val="0"/>
    </w:rPr>
  </w:style>
  <w:style w:type="paragraph" w:styleId="3">
    <w:name w:val="Body Text Indent 3"/>
    <w:basedOn w:val="a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B9D1-9B37-4DA0-BFFD-342B420D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ххх</dc:creator>
  <cp:lastModifiedBy>1</cp:lastModifiedBy>
  <cp:revision>2</cp:revision>
  <cp:lastPrinted>2018-02-08T05:28:00Z</cp:lastPrinted>
  <dcterms:created xsi:type="dcterms:W3CDTF">2018-10-08T11:46:00Z</dcterms:created>
  <dcterms:modified xsi:type="dcterms:W3CDTF">2018-10-08T11:46:00Z</dcterms:modified>
</cp:coreProperties>
</file>